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Сурдология-оториноларингология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Сурдология-оториноларингология | Записей: 2</w:t>
      </w:r>
    </w:p>
    <w:p>
      <w:r>
        <w:br w:type="page"/>
      </w:r>
    </w:p>
    <w:p>
      <w:pPr>
        <w:pStyle w:val="Heading1"/>
      </w:pPr>
      <w:r>
        <w:t>Сурдология-оториноларингология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55 лет на приеме у врача-сурдолога-оториноларинголога.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постоянный зуд в правом ухе, заложенность правого уха, дискомфорт, периодическую боль в правом ухе.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жалобы в течение 14 дней. Из анамнеза известно, что за последние 3 месяца неоднократно получал курсы системной антибактериальной терапии.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Наличие хронических заболеваний лор-органов отрицает.</w:t>
      </w:r>
    </w:p>
    <w:p>
      <w:pPr>
        <w:spacing w:after="58"/>
      </w:pPr>
      <w:r>
        <w:rPr>
          <w:b w:val="0"/>
          <w:i w:val="0"/>
        </w:rPr>
        <w:t>Наследственный анамнез – снижения слуха у родственников нет.</w:t>
      </w:r>
    </w:p>
    <w:p>
      <w:pPr>
        <w:spacing w:after="58"/>
      </w:pPr>
      <w:r>
        <w:rPr>
          <w:b w:val="0"/>
          <w:i w:val="0"/>
        </w:rPr>
        <w:t>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96 кг, рост 192 см. Температура тела 36,6°С. Кожные покровы бледно-розовые, влажные. АД 120/90 мм рт. ст.</w:t>
      </w:r>
    </w:p>
    <w:p>
      <w:pPr>
        <w:spacing w:after="58"/>
      </w:pPr>
      <w:r>
        <w:rPr>
          <w:b w:val="0"/>
          <w:i w:val="0"/>
        </w:rPr>
        <w:t>При осмотре полости носа – носовая перегородка по средней линии; нижние носовые раковины розовые, влажные, не увеличены; отделяемого в носовых ходах нет.</w:t>
      </w:r>
    </w:p>
    <w:p>
      <w:pPr>
        <w:spacing w:after="58"/>
      </w:pPr>
      <w:r>
        <w:rPr>
          <w:b w:val="0"/>
          <w:i w:val="0"/>
        </w:rPr>
        <w:t>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При отоскопии:</w:t>
      </w:r>
    </w:p>
    <w:p>
      <w:pPr>
        <w:spacing w:after="58"/>
      </w:pPr>
      <w:r>
        <w:rPr>
          <w:b w:val="0"/>
          <w:i w:val="0"/>
        </w:rPr>
        <w:t>AS – наружный слуховой проход широкий, свободный, барабанная перепонка – серая, опознавательные знаки сохранены.</w:t>
      </w:r>
    </w:p>
    <w:p>
      <w:pPr>
        <w:spacing w:after="58"/>
      </w:pPr>
      <w:r>
        <w:rPr>
          <w:b w:val="0"/>
          <w:i w:val="0"/>
        </w:rPr>
        <w:t>AD – ушная раковина без особенностей, умеренное сужение наружного слухового прохода, более выраженное в хрящевом отделе. Кожа слухового прохода умеренно отечная, розовой окраски. В слуховом проходе – отделяемое творожистой консистенции, беловатого цвета. Барабанная перепонка серого цвета, отечная, знаки сглажены.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отомикроскопии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рентгенографии височных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тональной пороговой аудиометрии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отомикроскопии</w:t>
      </w:r>
    </w:p>
    <w:p>
      <w:pPr>
        <w:ind w:left="504"/>
      </w:pPr>
      <w:r>
        <w:rPr>
          <w:b w:val="0"/>
          <w:i/>
        </w:rPr>
        <w:t>При всех формах отомикоза отмечен общий микроотоскопический признак – наличие у всех больных отделяемого в просвете наружного слухового прохода.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пациента имеют место характерные отоскопические признаки заболевания.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Отомикроскопия</w:t>
      </w:r>
    </w:p>
    <w:p>
      <w:pPr>
        <w:spacing w:after="58"/>
      </w:pPr>
      <w:r>
        <w:rPr>
          <w:b w:val="0"/>
          <w:i w:val="0"/>
        </w:rPr>
        <w:t>Отделяемое в наружном слуховом проходе, признаки локального воспалительного процесса</w:t>
      </w:r>
    </w:p>
    <w:p>
      <w:pPr>
        <w:pStyle w:val="Heading3"/>
      </w:pPr>
      <w:r>
        <w:t>3.4. Рентгенография околоносовых пазух</w:t>
      </w:r>
    </w:p>
    <w:p>
      <w:pPr>
        <w:spacing w:after="58"/>
      </w:pPr>
      <w:r>
        <w:rPr>
          <w:b w:val="0"/>
          <w:i w:val="0"/>
        </w:rPr>
        <w:t>Околоносовые пазухи воздушны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выявления возможных причин развития заболевания данному пациенту показана консультация врача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сурдолога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иммунолога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отохирурга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иммунолога</w:t>
      </w:r>
    </w:p>
    <w:p>
      <w:pPr>
        <w:ind w:left="504"/>
      </w:pPr>
      <w:r>
        <w:rPr>
          <w:b w:val="0"/>
          <w:i/>
        </w:rPr>
        <w:t>Консультация проводится с целью выявления этиопатогенетических факторов развития, рецидивирующего отомикоза, выявления и коррекции иммунодефицитных состояний.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Консультация врача-иммунолога</w:t>
      </w:r>
    </w:p>
    <w:p>
      <w:pPr>
        <w:spacing w:after="58"/>
      </w:pPr>
      <w:r>
        <w:rPr>
          <w:b w:val="0"/>
          <w:i w:val="0"/>
        </w:rPr>
        <w:t>Иммунологический статус в норме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Отомикоз справа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Правосторонний мезотимпанит, обострение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правосторонний гнойный средний отит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Инородное тело наружного слухового прохода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Отомикоз справа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зуд в левом ухе, дискомфорт, заложенность.</w:t>
        <w:br/>
        <w:br/>
        <w:t>* Данные отоскопии:</w:t>
        <w:br/>
        <w:br/>
        <w:t>* Данные обследования: отомикоз слева.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Отомикоз справа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окончательного подтверждения диагноза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повторное микробиологическое исследование отделяемого из ушей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компьютерную томографию височных 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аудиометрию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импедансометрию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повторное микробиологическое исследование отделяемого из ушей</w:t>
      </w:r>
    </w:p>
    <w:p>
      <w:pPr>
        <w:ind w:left="504"/>
      </w:pPr>
      <w:r>
        <w:rPr>
          <w:b w:val="0"/>
          <w:i/>
        </w:rPr>
        <w:t>Рекомендуется проведение повторного исследования патологического отделяемого.</w:t>
        <w:br/>
        <w:br/>
        <w:t>Комментарии: Грибковое поражение уха может быть заподозрено на основании данных отоскопии, но решающее значение имеют микологические лабораторные методы исследования. При этом однократно полученные отрицательные результаты не указывают на отсутствие грибкового заболевания. В данной ситуации рекомендовано проведение повторного исследования патологического отделяемого. И наоборот, единичный рост грибов в посеве не всегда свидетельствует о грибковом патологическом процессе.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Данному пациенту при отсутствии противопоказаний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хирургического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инфузионной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консервативного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консервативного лечения</w:t>
      </w:r>
    </w:p>
    <w:p>
      <w:pPr>
        <w:ind w:left="504"/>
      </w:pPr>
      <w:r>
        <w:rPr>
          <w:b w:val="0"/>
          <w:i/>
        </w:rPr>
        <w:t>Рекомендуется назначение местных лекарственных форм. Назначение системных противогрибковых препаратов показано при сопутствующем микозе среднего уха и микозе послеоперационной полости среднего уха. Туалет уха.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 целью лечения заболевания данному пациенту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внутримышечных инъекций антибактериальных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инфузионной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операции на правом ухе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местных противогрибковых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местных противогрибковых препаратов</w:t>
      </w:r>
    </w:p>
    <w:p>
      <w:pPr>
        <w:ind w:left="504"/>
      </w:pPr>
      <w:r>
        <w:rPr>
          <w:b w:val="0"/>
          <w:i/>
        </w:rPr>
        <w:t>Рекомендуется назначение местных лекарственных форм. Назначение системных противогрибковых препаратов показано при сопутствующем микозе среднего уха и микозе послеоперационной полости среднего уха. Туалет уха.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Физиотерапевтическое лечение данному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должно проводиться через 1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через 10 дней.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должно быть назначено с первых дней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показано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показано</w:t>
      </w:r>
    </w:p>
    <w:p>
      <w:pPr>
        <w:ind w:left="504"/>
      </w:pPr>
      <w:r>
        <w:rPr>
          <w:b w:val="0"/>
          <w:i/>
        </w:rPr>
        <w:t>Не рекомендуется физиотерапевтическое воздействие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Компьютерная томография височных костей данному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должна быть проведена как можно раньше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показана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показана через 2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показана при необходимости через 1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показана</w:t>
      </w:r>
    </w:p>
    <w:p>
      <w:pPr>
        <w:ind w:left="504"/>
      </w:pPr>
      <w:r>
        <w:rPr>
          <w:b w:val="0"/>
          <w:i/>
        </w:rPr>
        <w:t>Не входит в стандарт оказания помощи по профилю.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проведении туалета уха у данного пациента наибольшее внимание следует уделять +______________+ отделу наружного слухового прохода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передне-нижнему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задне-верхнему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задне-нижнему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передне-верхнему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передне-нижнему</w:t>
      </w:r>
    </w:p>
    <w:p>
      <w:pPr>
        <w:ind w:left="504"/>
      </w:pPr>
      <w:r>
        <w:rPr>
          <w:b w:val="0"/>
          <w:i/>
        </w:rPr>
        <w:t>При наружном микотическом отите большое значение придается очистке передне-нижнего отдела наружного слухового прохода. Тщательному туалету уха придается особое значение, поскольку даже незначительное количество микотических масс заметно удлиняет длительность лечения и, соответственно, растягивает сроки выздоровления.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Пациенту после выписки следует рекомендовать периодически обрабатывать кожу наружных слуховых проходов +_________________+ препаратами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антисептическими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антибактериальными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антимикотическими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антимикотическими</w:t>
      </w:r>
    </w:p>
    <w:p>
      <w:pPr>
        <w:ind w:left="504"/>
      </w:pPr>
      <w:r>
        <w:rPr>
          <w:b w:val="0"/>
          <w:i/>
        </w:rPr>
        <w:t>Профилактика рецидивов ОМ:</w:t>
        <w:br/>
        <w:br/>
        <w:t>* один раз в неделю (в течение 4-6 недель) смазывание кожи наружного слухового прохода вышеуказанными антимикотическими препаратами.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Данному пациенту показано проведение туалета уха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окончании курса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 начала применения местной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через 10 дней после выздоровления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7 дней после выздоровления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начала применения местной терапии</w:t>
      </w:r>
    </w:p>
    <w:p>
      <w:pPr>
        <w:ind w:left="504"/>
      </w:pPr>
      <w:r>
        <w:rPr>
          <w:b w:val="0"/>
          <w:i/>
        </w:rPr>
        <w:t>Рекомендуется кроме проведения местной терапии осуществлять предварительную тщательную очистку уха от патологического отделяемого.</w:t>
        <w:br/>
        <w:br/>
        <w:t>Тщательному туалету уха придается особое значение, поскольку даже незначительное количество микотических масс заметно удлиняет длительность лечения и, соответственно, растягивает сроки выздоровления.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Динамическое наблюдение с целью профилактики рецидивов отомикоза следует рекомендовать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Профилактика рецидивов ОМ:</w:t>
        <w:br/>
        <w:br/>
        <w:t>* динамическое наблюдение за больным в течение б месяцев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Сурдология-оториноларингология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47 лет обратился на прием к врачу-сурдологу-оториноларингологу в сурдологический кабинет города 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слуха на оба уха.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переболел гриппом около 6 месяцев назад, после чего стал отмечать снижение слуха на оба уха.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Наличие хронических заболеваний лор-органов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82 кг, рост 180 см. Температура тела 36,5°С. Кожные покровы бледно-розовые, влажные. АД 125/85 мм рт. ст.</w:t>
      </w:r>
    </w:p>
    <w:p>
      <w:pPr>
        <w:spacing w:after="58"/>
      </w:pPr>
      <w:r>
        <w:rPr>
          <w:b w:val="0"/>
          <w:i w:val="0"/>
        </w:rPr>
        <w:t>При осмотре полости носа – носовая перегородка по средней линии; нижние носовые раковины розовые, влажные, не увеличены; отделяемого в носовых ходах нет.</w:t>
      </w:r>
    </w:p>
    <w:p>
      <w:pPr>
        <w:spacing w:after="58"/>
      </w:pPr>
      <w:r>
        <w:rPr>
          <w:b w:val="0"/>
          <w:i w:val="0"/>
        </w:rPr>
        <w:t>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При отомикроскопии AD - наружный слуховой проход широкий, свободный, барабанная перепонка серая, опознавательные знаки сохранены.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AS – наружный слуховой проход широкий, свободный, барабанная перепонка – серая, опознавательные знаки сохранены.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Камертональные пробы - опыт Вебера латерализации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 целью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бактериологического исследования отделяемого из наружных слуховых проходов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эндоскопической фаринголарингоскопии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аудиометрии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эндоскопии носоглотки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аудиометрии</w:t>
      </w:r>
    </w:p>
    <w:p>
      <w:pPr>
        <w:ind w:left="504"/>
      </w:pPr>
      <w:r>
        <w:rPr>
          <w:b w:val="0"/>
          <w:i/>
        </w:rPr>
        <w:t>Рекомендовано проведение речевой аудиометрии в тишине и при наличии маскировочного шума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 целью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импедансометрии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околоносовых пазух с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мягких тканей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импедансометрии</w:t>
      </w:r>
    </w:p>
    <w:p>
      <w:pPr>
        <w:ind w:left="504"/>
      </w:pPr>
      <w:r>
        <w:rPr>
          <w:b w:val="0"/>
          <w:i/>
        </w:rPr>
        <w:t>Рекомендовано проведение импедансометрия (тимпанометрия и акустическая рефлексометрия) для исключения патологии среднего уха, а также для дифференциации с кондуктивной тугоухостью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Возрастная норма слуха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Двусторонняя глухота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Двусторонняя кондуктивная тугоухость II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Двусторонняя сенсоневральная тугоухость II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Двусторонняя сенсоневральная тугоухость II степени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снижение слуха на оба уха.</w:t>
        <w:br/>
        <w:br/>
        <w:t>* Данные отоскопии: барабанная перепонка серая, опознавательные знаки сохранены.</w:t>
        <w:br/>
        <w:br/>
        <w:t>* Данные обследования: двусторонняя сенсоневральная тугоухость II степени, тимпанограмма типа «А»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Данному пациенту показано проведение лечения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срочно, с соблюдением домашнего режима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планово, возможно в амбулаторных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стационаре, в экстренном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планово, с соблюдением домашнего режима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планово, возможно в амбулаторных условиях</w:t>
      </w:r>
    </w:p>
    <w:p>
      <w:pPr>
        <w:ind w:left="504"/>
      </w:pPr>
      <w:r>
        <w:rPr>
          <w:b w:val="0"/>
          <w:i/>
        </w:rPr>
        <w:t>Рекомендовано лечение фоновых соматических заболеваний и проведение курсов поддерживающей терапии по индивидуальным показаниям 1-2 раза в год с использованием таблетированных препаратов, улучшающих мозговой и лабиринтный кровоток, а также процессы тканевого и клеточного метаболизма.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Данному пациенту целесообразно назначение препаратов,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повышающих иммунитет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восстанавливающих нервные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улучшающих мозговой и лабиринтный кровоток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улучшающих нейромышечную проводимость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улучшающих мозговой и лабиринтный кровоток</w:t>
      </w:r>
    </w:p>
    <w:p>
      <w:pPr>
        <w:ind w:left="504"/>
      </w:pPr>
      <w:r>
        <w:rPr>
          <w:b w:val="0"/>
          <w:i/>
        </w:rPr>
        <w:t>Рекомендовано лечение фоновых соматических заболеваний и проведение курсов поддерживающей терапии по индивидуальным показаниям 1-2 раза в год с использованием таблетированных препаратов, улучшающих мозговой и лабиринтный кровоток, а также процессы тканевого и клеточного метаболизма.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данного пациента возможность восстановления порогов слышимости медикаментозным лечением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существует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незначительна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стопроцентная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незначительна</w:t>
      </w:r>
    </w:p>
    <w:p>
      <w:pPr>
        <w:ind w:left="504"/>
      </w:pPr>
      <w:r>
        <w:rPr>
          <w:b w:val="0"/>
          <w:i/>
        </w:rPr>
        <w:t>При хронической сенсоневральной тугоухости с точки зрения доказательной медицины возможность повысить пороги слышимости медикаментозным лечением крайне незначительна.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Тугоухость у данного пациента следует расценивать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стойкую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прогрессирующую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хроническую</w:t>
      </w:r>
    </w:p>
    <w:p>
      <w:pPr>
        <w:ind w:left="504"/>
      </w:pPr>
      <w:r>
        <w:rPr>
          <w:b w:val="0"/>
          <w:i/>
        </w:rPr>
        <w:t>Приобретенная СНТ подразделяется на: хроническую (снижение слуха сохраняется более 3 месяцев и может быть стабильным, прогрессирующим и флюктуирующим)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Помимо медикаментозного лечения,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слухопротезирования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отопластики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стапедопластики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кохлеарной имплантации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слухопротезирования</w:t>
      </w:r>
    </w:p>
    <w:p>
      <w:pPr>
        <w:ind w:left="504"/>
      </w:pPr>
      <w:r>
        <w:rPr>
          <w:b w:val="0"/>
          <w:i/>
        </w:rPr>
        <w:t>Слухопротезирование аппаратами воздушного проведения – показано при средних порогах слуха в зоне речевых частот (500, 1000, 2000 и 4000 кГц) на лучше слышащем ухе ≥31 дБ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оценки эффективности слухопротезирования следует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МРТ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речевую аудиометрию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височных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височных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речевую аудиометрию</w:t>
      </w:r>
    </w:p>
    <w:p>
      <w:pPr>
        <w:ind w:left="504"/>
      </w:pPr>
      <w:r>
        <w:rPr>
          <w:b w:val="0"/>
          <w:i/>
        </w:rPr>
        <w:t>Речевая аудиометрия в свободном звуковом поле в тишине и на фоне помех.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дальнейшем режим наблюдения включает проведение повторной аудиометрии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1-2 раза 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3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раза в год</w:t>
      </w:r>
    </w:p>
    <w:p>
      <w:pPr>
        <w:ind w:left="504"/>
      </w:pPr>
      <w:r>
        <w:rPr>
          <w:b w:val="0"/>
          <w:i/>
        </w:rPr>
        <w:t>Повторные аудиологические исследования и наблюдение включает:</w:t>
        <w:br/>
        <w:br/>
        <w:t>* Тональная пороговая аудиометрия – 1-2 раза в год.</w:t>
        <w:br/>
        <w:br/>
        <w:t>* Речевая аудиометрия в тишине и на фоне помех – 1-2 раза в год.</w:t>
        <w:br/>
        <w:br/>
        <w:t>* Коррекция амплитудно-частотных характеристик усиления слухового аппарата (по результатам аудиологического обследования) – 1-2 раза в год.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Целью медикаментозного лечения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улучшение слуха хотя бы на одно ухо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предупреждение прогрессирования тугоухости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восстановление слуха до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повышение иммунитета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предупреждение прогрессирования тугоухости</w:t>
      </w:r>
    </w:p>
    <w:p>
      <w:pPr>
        <w:ind w:left="504"/>
      </w:pPr>
      <w:r>
        <w:rPr>
          <w:b w:val="0"/>
          <w:i/>
        </w:rPr>
        <w:t>И если при острой сенсоневральной тугоухости существует вероятность восстановить слух лечебным воздействием, то при хронической сенсоневральной тугоухости с точки зрения доказательной медицины возможность повысить пороги слышимости медикаментозным лечением крайне незначительна.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Помимо врача-оториноларинголога, больного обязательно должен проконсультировать врач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невролог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пульмонолог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стоматолог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</w:t>
      </w:r>
    </w:p>
    <w:p>
      <w:pPr>
        <w:ind w:left="504"/>
      </w:pPr>
      <w:r>
        <w:rPr>
          <w:b w:val="0"/>
          <w:i/>
        </w:rPr>
        <w:t>Консультации врача-терапевта и врача-невролога.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35/" TargetMode="External"/><Relationship Id="rId10" Type="http://schemas.openxmlformats.org/officeDocument/2006/relationships/hyperlink" Target="https://library.mededtech.ru/rest/documents/cr_35/#list_item_d7tei" TargetMode="External"/><Relationship Id="rId11" Type="http://schemas.openxmlformats.org/officeDocument/2006/relationships/hyperlink" Target="https://library.mededtech.ru/rest/documents/cr_35/#list_item_3444t" TargetMode="External"/><Relationship Id="rId12" Type="http://schemas.openxmlformats.org/officeDocument/2006/relationships/hyperlink" Target="https://library.mededtech.ru/rest/documents/cr_35/#doc_2" TargetMode="External"/><Relationship Id="rId13" Type="http://schemas.openxmlformats.org/officeDocument/2006/relationships/hyperlink" Target="https://library.mededtech.ru/rest/documents/cr_35/#paragraph_92b1a" TargetMode="External"/><Relationship Id="rId14" Type="http://schemas.openxmlformats.org/officeDocument/2006/relationships/hyperlink" Target="https://library.mededtech.ru/rest/documents/cr_35/#3_1_&#1082;&#1086;&#1085;&#1089;&#1077;&#1088;&#1074;&#1072;&#1090;&#1080;&#1074;&#1085;&#1086;&#1077;_&#1083;&#1077;&#1095;&#1077;&#1085;&#1080;&#1077;" TargetMode="External"/><Relationship Id="rId15" Type="http://schemas.openxmlformats.org/officeDocument/2006/relationships/hyperlink" Target="https://library.mededtech.ru/rest/documents/cr_35/#list_item_0e1c1" TargetMode="External"/><Relationship Id="rId16" Type="http://schemas.openxmlformats.org/officeDocument/2006/relationships/hyperlink" Target="https://library.mededtech.ru/rest/documents/cr_35/#doc_criteria" TargetMode="External"/><Relationship Id="rId17" Type="http://schemas.openxmlformats.org/officeDocument/2006/relationships/hyperlink" Target="https://library.mededtech.ru/rest/documents/cr_35/#paragraph_24bv5" TargetMode="External"/><Relationship Id="rId18" Type="http://schemas.openxmlformats.org/officeDocument/2006/relationships/hyperlink" Target="https://library.mededtech.ru/rest/documents/cr_35/#list_item_f2mb4" TargetMode="External"/><Relationship Id="rId19" Type="http://schemas.openxmlformats.org/officeDocument/2006/relationships/hyperlink" Target="https://library.mededtech.ru/rest/documents/cr_35/#list_item_nr8ck" TargetMode="External"/><Relationship Id="rId20" Type="http://schemas.openxmlformats.org/officeDocument/2006/relationships/hyperlink" Target="https://library.mededtech.ru/rest/documents/cr_35/#list_item_s6q56" TargetMode="External"/><Relationship Id="rId21" Type="http://schemas.openxmlformats.org/officeDocument/2006/relationships/hyperlink" Target="https://library.mededtech.ru/rest/documents/KP518_23/" TargetMode="External"/><Relationship Id="rId22" Type="http://schemas.openxmlformats.org/officeDocument/2006/relationships/hyperlink" Target="https://library.mededtech.ru/rest/documents/KP518_23/#list_item_38iq90" TargetMode="External"/><Relationship Id="rId23" Type="http://schemas.openxmlformats.org/officeDocument/2006/relationships/hyperlink" Target="https://library.mededtech.ru/rest/documents/KP518_23/#list_item_sg38q6" TargetMode="External"/><Relationship Id="rId24" Type="http://schemas.openxmlformats.org/officeDocument/2006/relationships/hyperlink" Target="https://library.mededtech.ru/rest/documents/KP518_23/#paragraph_fuv5ni" TargetMode="External"/><Relationship Id="rId25" Type="http://schemas.openxmlformats.org/officeDocument/2006/relationships/hyperlink" Target="https://library.mededtech.ru/rest/documents/KP518_23/#paragraph_k6f6n2" TargetMode="External"/><Relationship Id="rId26" Type="http://schemas.openxmlformats.org/officeDocument/2006/relationships/hyperlink" Target="https://library.mededtech.ru/rest/documents/KP518_23/#paragraph_0oobq9" TargetMode="External"/><Relationship Id="rId27" Type="http://schemas.openxmlformats.org/officeDocument/2006/relationships/hyperlink" Target="https://library.mededtech.ru/rest/documents/KP518_23/#list_item_42ah7m" TargetMode="External"/><Relationship Id="rId28" Type="http://schemas.openxmlformats.org/officeDocument/2006/relationships/hyperlink" Target="https://library.mededtech.ru/rest/documents/KP518_23/#paragraph_0k49qh" TargetMode="External"/><Relationship Id="rId29" Type="http://schemas.openxmlformats.org/officeDocument/2006/relationships/hyperlink" Target="https://library.mededtech.ru/rest/documents/KP518_23/#list_item_2e1dkh" TargetMode="External"/><Relationship Id="rId30" Type="http://schemas.openxmlformats.org/officeDocument/2006/relationships/hyperlink" Target="https://library.mededtech.ru/rest/documents/KP518_23/#list_item_9h47jm" TargetMode="External"/><Relationship Id="rId31" Type="http://schemas.openxmlformats.org/officeDocument/2006/relationships/hyperlink" Target="https://library.mededtech.ru/rest/documents/KP518_23/#list_item_9vmup2" TargetMode="External"/><Relationship Id="rId32" Type="http://schemas.openxmlformats.org/officeDocument/2006/relationships/hyperlink" Target="https://library.mededtech.ru/rest/documents/KP518_23/#paragraph_uj2ci2" TargetMode="External"/><Relationship Id="rId33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